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562" w:firstLineChars="200"/>
        <w:jc w:val="center"/>
        <w:rPr>
          <w:rFonts w:hint="eastAsia" w:ascii="楷体" w:hAnsi="楷体" w:eastAsia="楷体" w:cstheme="minorBidi"/>
          <w:b/>
          <w:bCs/>
          <w:color w:val="FF0000"/>
          <w:kern w:val="21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theme="minorBidi"/>
          <w:b/>
          <w:bCs/>
          <w:color w:val="FF0000"/>
          <w:kern w:val="21"/>
          <w:sz w:val="28"/>
          <w:szCs w:val="28"/>
          <w:lang w:val="en-US" w:eastAsia="zh-CN" w:bidi="ar-SA"/>
        </w:rPr>
        <w:t>素养园地</w:t>
      </w:r>
    </w:p>
    <w:p>
      <w:pPr>
        <w:ind w:firstLine="560" w:firstLineChars="200"/>
        <w:jc w:val="center"/>
        <w:rPr>
          <w:rFonts w:hint="default" w:ascii="楷体" w:hAnsi="楷体" w:eastAsia="楷体"/>
          <w:color w:val="000000" w:themeColor="text1"/>
          <w:kern w:val="2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kern w:val="2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项目八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562" w:firstLineChars="200"/>
        <w:jc w:val="center"/>
        <w:rPr>
          <w:rFonts w:hint="default" w:ascii="楷体" w:hAnsi="楷体" w:eastAsia="楷体" w:cstheme="minorBidi"/>
          <w:b/>
          <w:bCs/>
          <w:color w:val="auto"/>
          <w:kern w:val="21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theme="minorBidi"/>
          <w:b/>
          <w:bCs/>
          <w:color w:val="auto"/>
          <w:kern w:val="21"/>
          <w:sz w:val="28"/>
          <w:szCs w:val="28"/>
          <w:lang w:val="en-US" w:eastAsia="zh-CN" w:bidi="ar-SA"/>
        </w:rPr>
        <w:t>以诚信擦亮中国外</w:t>
      </w:r>
      <w:bookmarkStart w:id="0" w:name="_GoBack"/>
      <w:bookmarkEnd w:id="0"/>
      <w:r>
        <w:rPr>
          <w:rFonts w:hint="eastAsia" w:ascii="楷体" w:hAnsi="楷体" w:eastAsia="楷体" w:cstheme="minorBidi"/>
          <w:b/>
          <w:bCs/>
          <w:color w:val="auto"/>
          <w:kern w:val="21"/>
          <w:sz w:val="28"/>
          <w:szCs w:val="28"/>
          <w:lang w:val="en-US" w:eastAsia="zh-CN" w:bidi="ar-SA"/>
        </w:rPr>
        <w:t>贸“金字招牌”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420"/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</w:pPr>
      <w:r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  <w:t>在外部需求放缓、内部竞争优势弱化等因素共同影响下，近期中国经济“三驾马车”之一的外贸面临严峻挑战。今年前三季度，进出口总值同比下降1.9%。逆境之下，中国外贸尤需苦练“内功”，以诚信擦亮“金字招牌”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420"/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</w:pPr>
      <w:r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  <w:t>人无信不立、业无信不兴、国无信不强。进出口企业身处外贸第一线，对于良好的进出口贸易秩序有着切身感受。如果放任偷报漏报、造假欺诈的不良企业“横行无阻”，不仅将极大伤害诚信守法企业的积极性，恶化进出口管理秩序，更可能产生“劣币驱逐良币”的消极效应，对于外贸行业健康发展有百害而无一利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420"/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</w:pPr>
      <w:r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  <w:t>另一方面，货物贸易是中国企业与世界接触的一扇窗口，某种程度上代表着中国企业的形象。一些投机取巧的外贸企业扰乱贸易秩序的行为，不仅影响自身声誉，更是对中国企业、中国形象的重大伤害。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420"/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</w:pPr>
      <w:r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  <w:t>40部门联手对海关高级认证企业实施联合激励，其核心意义就在于按照“褒扬诚信、惩戒失信”的原则，以差别化监管降低高信用企业贸易成本，为诚信企业提供更多制度便利，形成越诚信、越便利的良性循环，激励更多市场主体加入高信用企业群体行列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420"/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</w:pPr>
      <w:r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  <w:t>可以想见，一个守信企业“关通天下”、失信企业“处处受限”的进出口管理格局，必将为我国外贸回稳向好提供强大动能，为中国经济转型升级作出更大贡献。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420"/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  <w:t>资料来源：《新华社》 作者：作者:林晖 王希（http://www.rmzxb.com.cn/c/2016-11-02/1117050.shtml）</w:t>
      </w:r>
    </w:p>
    <w:p>
      <w:pPr>
        <w:rPr>
          <w:color w:val="auto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hMWU2N2U5NDgyMTQwZTUzNzBjNzMxNzk0YmY5ZGIifQ=="/>
  </w:docVars>
  <w:rsids>
    <w:rsidRoot w:val="00000000"/>
    <w:rsid w:val="46C03D3F"/>
    <w:rsid w:val="4E341F41"/>
    <w:rsid w:val="63BF1DC8"/>
    <w:rsid w:val="78E7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2024-05-12T13:34:00Z</dcterms:created>
  <dc:creator>Administrator</dc:creator>
  <cp:lastModifiedBy>Administrator</cp:lastModifiedBy>
  <dcterms:modified xsi:type="dcterms:W3CDTF">2024-05-16T01:18:24Z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D2DCE27A24554BAAB565FA40CF0B056B_12</vt:lpwstr>
  </property>
</Properties>
</file>